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96" w:lineRule="atLeast"/>
        <w:ind w:left="0" w:right="0"/>
        <w:jc w:val="center"/>
        <w:rPr>
          <w:rFonts w:hint="eastAsia" w:ascii="宋体" w:hAnsi="宋体" w:eastAsia="宋体" w:cstheme="majorBidi"/>
          <w:b/>
          <w:bCs/>
          <w:kern w:val="2"/>
          <w:sz w:val="36"/>
          <w:szCs w:val="36"/>
          <w:lang w:val="en-US" w:eastAsia="zh-CN" w:bidi="ar-SA"/>
        </w:rPr>
      </w:pPr>
      <w:r>
        <w:rPr>
          <w:rFonts w:hint="eastAsia" w:ascii="宋体" w:hAnsi="宋体" w:eastAsia="宋体" w:cstheme="majorBidi"/>
          <w:b/>
          <w:bCs/>
          <w:kern w:val="2"/>
          <w:sz w:val="36"/>
          <w:szCs w:val="36"/>
          <w:lang w:val="en-US" w:eastAsia="zh-CN" w:bidi="ar-SA"/>
        </w:rPr>
        <w:t>江西泰豪教育基金会非货币捐赠管理办法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96" w:lineRule="atLeast"/>
        <w:ind w:left="0" w:right="0"/>
        <w:jc w:val="center"/>
        <w:rPr>
          <w:rFonts w:hint="eastAsia" w:ascii="宋体" w:hAnsi="宋体" w:eastAsia="宋体" w:cstheme="majorBidi"/>
          <w:b/>
          <w:bCs/>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 xml:space="preserve">第一条 </w:t>
      </w:r>
      <w:r>
        <w:rPr>
          <w:rFonts w:hint="eastAsia" w:ascii="宋体" w:hAnsi="宋体" w:eastAsia="宋体" w:cs="Times New Roman"/>
          <w:b w:val="0"/>
          <w:color w:val="222222"/>
          <w:kern w:val="0"/>
          <w:sz w:val="24"/>
          <w:szCs w:val="24"/>
          <w:shd w:val="clear" w:fill="FFFFFF"/>
          <w:lang w:val="en-US" w:eastAsia="zh-CN" w:bidi="ar"/>
        </w:rPr>
        <w:t> 为了加强江西泰豪教育基金会（以下简称</w:t>
      </w:r>
      <w:r>
        <w:rPr>
          <w:rFonts w:hint="eastAsia" w:ascii="宋体" w:hAnsi="宋体" w:eastAsia="宋体" w:cs="宋体"/>
          <w:b w:val="0"/>
          <w:color w:val="222222"/>
          <w:kern w:val="0"/>
          <w:sz w:val="24"/>
          <w:szCs w:val="24"/>
          <w:shd w:val="clear" w:fill="FFFFFF"/>
          <w:lang w:val="en-US" w:eastAsia="zh-CN" w:bidi="ar"/>
        </w:rPr>
        <w:t>“教育基金会”</w:t>
      </w:r>
      <w:r>
        <w:rPr>
          <w:rFonts w:hint="eastAsia" w:ascii="宋体" w:hAnsi="宋体" w:eastAsia="宋体" w:cs="Times New Roman"/>
          <w:b w:val="0"/>
          <w:color w:val="222222"/>
          <w:kern w:val="0"/>
          <w:sz w:val="24"/>
          <w:szCs w:val="24"/>
          <w:shd w:val="clear" w:fill="FFFFFF"/>
          <w:lang w:val="en-US" w:eastAsia="zh-CN" w:bidi="ar"/>
        </w:rPr>
        <w:t xml:space="preserve">）接受捐赠非货币性资产的管理，确保捐赠人和受助人的合法权益，根据《中华人民共和国公益事业捐赠法》、《民间非营利组织会计制度》、《基金会管理条例》等国家有关法律法规，并结合教育基金会有关规定，制定本办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第二条</w:t>
      </w:r>
      <w:r>
        <w:rPr>
          <w:rFonts w:hint="eastAsia" w:ascii="宋体" w:hAnsi="宋体" w:eastAsia="宋体" w:cs="Times New Roman"/>
          <w:b w:val="0"/>
          <w:color w:val="222222"/>
          <w:kern w:val="0"/>
          <w:sz w:val="24"/>
          <w:szCs w:val="24"/>
          <w:shd w:val="clear" w:fill="FFFFFF"/>
          <w:lang w:val="en-US" w:eastAsia="zh-CN" w:bidi="ar"/>
        </w:rPr>
        <w:t xml:space="preserve">  教育基金会接受捐赠的非货币性资产管理坚持遵守教育基金会章程，对受赠非货币性资产实行项目管理，建立公开、透明的分配和使用机制，尊重捐赠人意愿，定期向社会公布有关信息，维护教育基金会信誉。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 xml:space="preserve">第三条 </w:t>
      </w:r>
      <w:r>
        <w:rPr>
          <w:rFonts w:hint="eastAsia" w:ascii="宋体" w:hAnsi="宋体" w:eastAsia="宋体" w:cs="Times New Roman"/>
          <w:b w:val="0"/>
          <w:color w:val="222222"/>
          <w:kern w:val="0"/>
          <w:sz w:val="24"/>
          <w:szCs w:val="24"/>
          <w:shd w:val="clear" w:fill="FFFFFF"/>
          <w:lang w:val="en-US" w:eastAsia="zh-CN" w:bidi="ar"/>
        </w:rPr>
        <w:t> 非货币性资产是指货币性资产以外</w:t>
      </w:r>
      <w:bookmarkStart w:id="0" w:name="_GoBack"/>
      <w:bookmarkEnd w:id="0"/>
      <w:r>
        <w:rPr>
          <w:rFonts w:hint="eastAsia" w:ascii="宋体" w:hAnsi="宋体" w:eastAsia="宋体" w:cs="Times New Roman"/>
          <w:b w:val="0"/>
          <w:color w:val="222222"/>
          <w:kern w:val="0"/>
          <w:sz w:val="24"/>
          <w:szCs w:val="24"/>
          <w:shd w:val="clear" w:fill="FFFFFF"/>
          <w:lang w:val="en-US" w:eastAsia="zh-CN" w:bidi="ar"/>
        </w:rPr>
        <w:t xml:space="preserve">的资产，包括物资、图书、计算机硬件、出版物、房屋建筑物、体育器材、教学及学生用品、著作权、商标权、广告版面、广告时段、股权等。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第四条</w:t>
      </w:r>
      <w:r>
        <w:rPr>
          <w:rFonts w:hint="eastAsia" w:ascii="宋体" w:hAnsi="宋体" w:eastAsia="宋体" w:cs="Times New Roman"/>
          <w:b w:val="0"/>
          <w:color w:val="222222"/>
          <w:kern w:val="0"/>
          <w:sz w:val="24"/>
          <w:szCs w:val="24"/>
          <w:shd w:val="clear" w:fill="FFFFFF"/>
          <w:lang w:val="en-US" w:eastAsia="zh-CN" w:bidi="ar"/>
        </w:rPr>
        <w:t xml:space="preserve"> 非货币性捐赠财产的使用范围：用于教育基金会章程所规定的业务范围；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第五条</w:t>
      </w:r>
      <w:r>
        <w:rPr>
          <w:rFonts w:hint="eastAsia" w:ascii="宋体" w:hAnsi="宋体" w:eastAsia="宋体" w:cs="Times New Roman"/>
          <w:b w:val="0"/>
          <w:color w:val="222222"/>
          <w:kern w:val="0"/>
          <w:sz w:val="24"/>
          <w:szCs w:val="24"/>
          <w:shd w:val="clear" w:fill="FFFFFF"/>
          <w:lang w:val="en-US" w:eastAsia="zh-CN" w:bidi="ar"/>
        </w:rPr>
        <w:t xml:space="preserve"> 教育基金会接受非货币性捐赠财产，在实际收到后确认收入并开具捐赠票据。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 xml:space="preserve">第六条 </w:t>
      </w:r>
      <w:r>
        <w:rPr>
          <w:rFonts w:hint="eastAsia" w:ascii="宋体" w:hAnsi="宋体" w:eastAsia="宋体" w:cs="Times New Roman"/>
          <w:b w:val="0"/>
          <w:color w:val="222222"/>
          <w:kern w:val="0"/>
          <w:sz w:val="24"/>
          <w:szCs w:val="24"/>
          <w:shd w:val="clear" w:fill="FFFFFF"/>
          <w:lang w:val="en-US" w:eastAsia="zh-CN" w:bidi="ar"/>
        </w:rPr>
        <w:t xml:space="preserve">教育基金会接受非货币性捐赠财产，按照以下方法确定入账价值：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val="0"/>
          <w:color w:val="222222"/>
          <w:kern w:val="0"/>
          <w:sz w:val="24"/>
          <w:szCs w:val="24"/>
          <w:shd w:val="clear" w:fill="FFFFFF"/>
          <w:lang w:val="en-US" w:eastAsia="zh-CN" w:bidi="ar"/>
        </w:rPr>
        <w:t xml:space="preserve">（一）捐赠人提供了发票、报关单等凭据的，以相关凭据作为确认入账价值的依据；捐赠方不能提供凭据的，以其他确认捐赠财产的证明，作为确认入账价值的依据；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val="0"/>
          <w:color w:val="222222"/>
          <w:kern w:val="0"/>
          <w:sz w:val="24"/>
          <w:szCs w:val="24"/>
          <w:shd w:val="clear" w:fill="FFFFFF"/>
          <w:lang w:val="en-US" w:eastAsia="zh-CN" w:bidi="ar"/>
        </w:rPr>
        <w:t xml:space="preserve">（二）捐赠人提供的凭据或其他能够确认受赠资产价值的证明上标明的金额与受赠资产公允价值相差较大的，以其公允价值作为入账价值。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第七条</w:t>
      </w:r>
      <w:r>
        <w:rPr>
          <w:rFonts w:hint="eastAsia" w:ascii="宋体" w:hAnsi="宋体" w:eastAsia="宋体" w:cs="Times New Roman"/>
          <w:b w:val="0"/>
          <w:color w:val="222222"/>
          <w:kern w:val="0"/>
          <w:sz w:val="24"/>
          <w:szCs w:val="24"/>
          <w:shd w:val="clear" w:fill="FFFFFF"/>
          <w:lang w:val="en-US" w:eastAsia="zh-CN" w:bidi="ar"/>
        </w:rPr>
        <w:t xml:space="preserve"> 本办法中所称的公允价值是指在公平交易中，交易双方，自愿进行物资交换或者债务清偿的金额。公允价值的确定顺序如下：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val="0"/>
          <w:color w:val="222222"/>
          <w:kern w:val="0"/>
          <w:sz w:val="24"/>
          <w:szCs w:val="24"/>
          <w:shd w:val="clear" w:fill="FFFFFF"/>
          <w:lang w:val="en-US" w:eastAsia="zh-CN" w:bidi="ar"/>
        </w:rPr>
        <w:t xml:space="preserve">（一）按照同类或类似资产存在市场中的市场价格确定公允价值；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val="0"/>
          <w:color w:val="222222"/>
          <w:kern w:val="0"/>
          <w:sz w:val="24"/>
          <w:szCs w:val="24"/>
          <w:shd w:val="clear" w:fill="FFFFFF"/>
          <w:lang w:val="en-US" w:eastAsia="zh-CN" w:bidi="ar"/>
        </w:rPr>
        <w:t xml:space="preserve">（二）如果同类或类似资产不存在活跃市场，或者市场中无法找到同类资产的，应当采用合理的计价方法确定物资的公允价值。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第八条</w:t>
      </w:r>
      <w:r>
        <w:rPr>
          <w:rFonts w:hint="eastAsia" w:ascii="宋体" w:hAnsi="宋体" w:eastAsia="宋体" w:cs="Times New Roman"/>
          <w:b w:val="0"/>
          <w:color w:val="222222"/>
          <w:kern w:val="0"/>
          <w:sz w:val="24"/>
          <w:szCs w:val="24"/>
          <w:shd w:val="clear" w:fill="FFFFFF"/>
          <w:lang w:val="en-US" w:eastAsia="zh-CN" w:bidi="ar"/>
        </w:rPr>
        <w:t xml:space="preserve"> 捐赠人以持有的股权向教育基金会进行公益性捐赠的，应办理股权变更至教育基金会的手续，同时不再对已捐赠股权行使股东权利，并不得要求教育基金会予以经济回报。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 xml:space="preserve">第九条 </w:t>
      </w:r>
      <w:r>
        <w:rPr>
          <w:rFonts w:hint="eastAsia" w:ascii="宋体" w:hAnsi="宋体" w:eastAsia="宋体" w:cs="Times New Roman"/>
          <w:b w:val="0"/>
          <w:color w:val="222222"/>
          <w:kern w:val="0"/>
          <w:sz w:val="24"/>
          <w:szCs w:val="24"/>
          <w:shd w:val="clear" w:fill="FFFFFF"/>
          <w:lang w:val="en-US" w:eastAsia="zh-CN" w:bidi="ar"/>
        </w:rPr>
        <w:t xml:space="preserve">教育基金会接受捐赠的非货币性资产严格按照公益方式进行管理。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第十条</w:t>
      </w:r>
      <w:r>
        <w:rPr>
          <w:rFonts w:hint="eastAsia" w:ascii="宋体" w:hAnsi="宋体" w:eastAsia="宋体" w:cs="Times New Roman"/>
          <w:b w:val="0"/>
          <w:color w:val="222222"/>
          <w:kern w:val="0"/>
          <w:sz w:val="24"/>
          <w:szCs w:val="24"/>
          <w:shd w:val="clear" w:fill="FFFFFF"/>
          <w:lang w:val="en-US" w:eastAsia="zh-CN" w:bidi="ar"/>
        </w:rPr>
        <w:t xml:space="preserve"> 教育基金会收到捐赠的非货币性资产时，捐赠方应提供非货币性资产公允价值证明，教育基金会据此向捐赠人出具合法、有效的收据，将受赠非货币性资产及时登记造册。同时，与捐赠方签订《捐赠协议》，明确双方责任义务。对捐赠非货币性资产要妥善保管，做到不遗漏，不丢失。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第十一条</w:t>
      </w:r>
      <w:r>
        <w:rPr>
          <w:rFonts w:hint="eastAsia" w:ascii="宋体" w:hAnsi="宋体" w:eastAsia="宋体" w:cs="Times New Roman"/>
          <w:b w:val="0"/>
          <w:color w:val="222222"/>
          <w:kern w:val="0"/>
          <w:sz w:val="24"/>
          <w:szCs w:val="24"/>
          <w:shd w:val="clear" w:fill="FFFFFF"/>
          <w:lang w:val="en-US" w:eastAsia="zh-CN" w:bidi="ar"/>
        </w:rPr>
        <w:t xml:space="preserve">  如非货币性资产需要入库管理，在安排其入库运输时，要与捐赠者当面清点，确认数量，并在物资运达库房后，与库房人员确认物资，做好交接；捐赠者把物资直接运达库房时，库房接收人要当面清点物资数量，做好登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第十二条</w:t>
      </w:r>
      <w:r>
        <w:rPr>
          <w:rFonts w:hint="eastAsia" w:ascii="宋体" w:hAnsi="宋体" w:eastAsia="宋体" w:cs="Times New Roman"/>
          <w:b w:val="0"/>
          <w:color w:val="222222"/>
          <w:kern w:val="0"/>
          <w:sz w:val="24"/>
          <w:szCs w:val="24"/>
          <w:shd w:val="clear" w:fill="FFFFFF"/>
          <w:lang w:val="en-US" w:eastAsia="zh-CN" w:bidi="ar"/>
        </w:rPr>
        <w:t xml:space="preserve"> 教育基金会接受非货币性捐赠资产在网站上进行公示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第十三条</w:t>
      </w:r>
      <w:r>
        <w:rPr>
          <w:rFonts w:hint="eastAsia" w:ascii="宋体" w:hAnsi="宋体" w:eastAsia="宋体" w:cs="Times New Roman"/>
          <w:b w:val="0"/>
          <w:color w:val="222222"/>
          <w:kern w:val="0"/>
          <w:sz w:val="24"/>
          <w:szCs w:val="24"/>
          <w:shd w:val="clear" w:fill="FFFFFF"/>
          <w:lang w:val="en-US" w:eastAsia="zh-CN" w:bidi="ar"/>
        </w:rPr>
        <w:t xml:space="preserve"> 教育基金会严格按照《捐赠协议》使用捐赠资产。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第十四条</w:t>
      </w:r>
      <w:r>
        <w:rPr>
          <w:rFonts w:hint="eastAsia" w:ascii="宋体" w:hAnsi="宋体" w:eastAsia="宋体" w:cs="Times New Roman"/>
          <w:b w:val="0"/>
          <w:color w:val="222222"/>
          <w:kern w:val="0"/>
          <w:sz w:val="24"/>
          <w:szCs w:val="24"/>
          <w:shd w:val="clear" w:fill="FFFFFF"/>
          <w:lang w:val="en-US" w:eastAsia="zh-CN" w:bidi="ar"/>
        </w:rPr>
        <w:t xml:space="preserve"> 捐赠人有权向教育基金会查询非货币性捐赠物资的使用、管理情况，并提出意见和建议。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6" w:afterAutospacing="0" w:line="360" w:lineRule="auto"/>
        <w:ind w:left="0" w:right="0"/>
        <w:jc w:val="left"/>
        <w:textAlignment w:val="auto"/>
        <w:rPr>
          <w:b w:val="0"/>
          <w:sz w:val="24"/>
          <w:szCs w:val="24"/>
        </w:rPr>
      </w:pPr>
      <w:r>
        <w:rPr>
          <w:rFonts w:hint="eastAsia" w:ascii="宋体" w:hAnsi="宋体" w:eastAsia="宋体" w:cs="Times New Roman"/>
          <w:b/>
          <w:bCs/>
          <w:color w:val="222222"/>
          <w:kern w:val="0"/>
          <w:sz w:val="24"/>
          <w:szCs w:val="24"/>
          <w:shd w:val="clear" w:fill="FFFFFF"/>
          <w:lang w:val="en-US" w:eastAsia="zh-CN" w:bidi="ar"/>
        </w:rPr>
        <w:t xml:space="preserve">第十五条 </w:t>
      </w:r>
      <w:r>
        <w:rPr>
          <w:rFonts w:hint="eastAsia" w:ascii="宋体" w:hAnsi="宋体" w:eastAsia="宋体" w:cs="Times New Roman"/>
          <w:b w:val="0"/>
          <w:color w:val="222222"/>
          <w:kern w:val="0"/>
          <w:sz w:val="24"/>
          <w:szCs w:val="24"/>
          <w:shd w:val="clear" w:fill="FFFFFF"/>
          <w:lang w:val="en-US" w:eastAsia="zh-CN" w:bidi="ar"/>
        </w:rPr>
        <w:t xml:space="preserve">本办法由江西泰豪教育基金会负责解释。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360" w:lineRule="auto"/>
        <w:ind w:right="0"/>
        <w:jc w:val="both"/>
        <w:textAlignment w:val="auto"/>
        <w:rPr>
          <w:sz w:val="24"/>
          <w:szCs w:val="24"/>
        </w:rPr>
      </w:pPr>
      <w:r>
        <w:rPr>
          <w:rFonts w:hint="eastAsia" w:ascii="宋体" w:hAnsi="宋体" w:eastAsia="宋体" w:cs="Times New Roman"/>
          <w:b/>
          <w:bCs/>
          <w:color w:val="222222"/>
          <w:kern w:val="1"/>
          <w:sz w:val="24"/>
          <w:szCs w:val="24"/>
          <w:shd w:val="clear" w:fill="FFFFFF"/>
          <w:lang w:val="en-US" w:eastAsia="zh-CN" w:bidi="ar"/>
        </w:rPr>
        <w:t xml:space="preserve">第十六条 </w:t>
      </w:r>
      <w:r>
        <w:rPr>
          <w:rFonts w:hint="eastAsia" w:ascii="宋体" w:hAnsi="宋体" w:eastAsia="宋体" w:cs="Times New Roman"/>
          <w:color w:val="222222"/>
          <w:kern w:val="1"/>
          <w:sz w:val="24"/>
          <w:szCs w:val="24"/>
          <w:shd w:val="clear" w:fill="FFFFFF"/>
          <w:lang w:val="en-US" w:eastAsia="zh-CN" w:bidi="ar"/>
        </w:rPr>
        <w:t>本办法自公布之日起执行。</w:t>
      </w:r>
    </w:p>
    <w:p>
      <w:pPr>
        <w:pStyle w:val="10"/>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窗体底端</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70C57"/>
    <w:rsid w:val="0B3B13AC"/>
    <w:rsid w:val="362A18DD"/>
    <w:rsid w:val="5FD70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center"/>
      <w:outlineLvl w:val="1"/>
    </w:pPr>
    <w:rPr>
      <w:rFonts w:ascii="Times New Roman" w:hAnsi="Times New Roman" w:eastAsia="宋体" w:cs="Times New Roman"/>
      <w:b/>
      <w:bCs/>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222222"/>
      <w:u w:val="none"/>
    </w:rPr>
  </w:style>
  <w:style w:type="character" w:styleId="7">
    <w:name w:val="Emphasis"/>
    <w:basedOn w:val="5"/>
    <w:qFormat/>
    <w:uiPriority w:val="0"/>
  </w:style>
  <w:style w:type="character" w:styleId="8">
    <w:name w:val="Hyperlink"/>
    <w:basedOn w:val="5"/>
    <w:uiPriority w:val="0"/>
    <w:rPr>
      <w:color w:val="222222"/>
      <w:u w:val="none"/>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2020-07-19T13:13:00Z</dcterms:created>
  <dc:creator>KWCH</dc:creator>
  <cp:lastModifiedBy>KWCH</cp:lastModifiedBy>
  <cp:lastPrinted>2020-07-31T00:06:00Z</cp:lastPrinted>
  <dcterms:modified xsi:type="dcterms:W3CDTF">2020-08-19T06:52:31Z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