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180" w:afterAutospacing="0" w:line="432" w:lineRule="atLeast"/>
        <w:ind w:left="0" w:right="0"/>
        <w:jc w:val="center"/>
        <w:rPr>
          <w:rFonts w:hint="eastAsia" w:ascii="宋体" w:hAnsi="宋体" w:eastAsia="宋体" w:cstheme="majorBidi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theme="majorBidi"/>
          <w:b/>
          <w:bCs/>
          <w:kern w:val="2"/>
          <w:sz w:val="36"/>
          <w:szCs w:val="36"/>
          <w:lang w:val="en-US" w:eastAsia="zh-CN" w:bidi="ar-SA"/>
        </w:rPr>
        <w:t>江西泰豪教育基金会关联方管理制度</w:t>
      </w:r>
    </w:p>
    <w:p>
      <w:pPr>
        <w:spacing w:line="360" w:lineRule="auto"/>
        <w:ind w:right="105"/>
        <w:jc w:val="center"/>
        <w:rPr>
          <w:rFonts w:hint="eastAsia" w:ascii="宋体" w:hAnsi="宋体" w:eastAsia="宋体" w:cstheme="majorBidi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/>
          <w:color w:val="333333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第一条</w:t>
      </w:r>
      <w:r>
        <w:t xml:space="preserve"> 为了正确完整识别关联方及关联交易，规范</w:t>
      </w:r>
      <w:r>
        <w:rPr>
          <w:rFonts w:hint="eastAsia"/>
          <w:lang w:val="en-US" w:eastAsia="zh-CN"/>
        </w:rPr>
        <w:t>江西泰豪教育</w:t>
      </w:r>
      <w:r>
        <w:t>基金会（以下简称基金会）的关联交易，保证关联交易的公允性，根据《民间非营利组织会计制度》、《基金会管理条例》等法律、法规和《</w:t>
      </w:r>
      <w:r>
        <w:rPr>
          <w:rFonts w:hint="eastAsia"/>
          <w:lang w:val="en-US" w:eastAsia="zh-CN"/>
        </w:rPr>
        <w:t>江西泰豪教育</w:t>
      </w:r>
      <w:r>
        <w:t>基金会章程》等相关制度，结合基金会实际情况，制定本制度。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第二条</w:t>
      </w:r>
      <w:r>
        <w:t xml:space="preserve"> 基金会的关联交易应当遵循以下基本原则：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（一）符合诚实信用的原则；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（二）符合公平、公开、公允原则；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（三）关联方如享有理事会表决权，除特殊情况外，应当回避表决；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（四）与关联方有任何利害关系的理事，在理事会就该事项进行表决时应当回避。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（五）理事会应当根据客观条件判断该关联交易是否对基金会有力，必要时可聘请专业评估师或独立财务顾问。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第三条</w:t>
      </w:r>
      <w:r>
        <w:t xml:space="preserve"> 理事会对关联交易履行决策职责；秘书处负责执行理事会制定的关联交易战略、规章制度及其他有关决议，且定期披露关联方和关联方交易信息。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第四条</w:t>
      </w:r>
      <w:r>
        <w:t xml:space="preserve"> 关联方及关联方交易的确认：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（1）一方控制、共同控制另一方或另一方施加重大影响，以及两方或两方以上受同一方控制、共同控制或重大影响的，构成关联方。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（2）关联方交易，是指关联方之间转移资源、劳务或义务的行为，而不论是否收取价款。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第五条</w:t>
      </w:r>
      <w:r>
        <w:t xml:space="preserve"> 关联方交易须经秘书处报理事会审批，审批通过后方可执行该项交易。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第六条</w:t>
      </w:r>
      <w:r>
        <w:t xml:space="preserve"> 关联方和关联交易应在财务报告和年检报告中进行披露。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第七条</w:t>
      </w:r>
      <w:r>
        <w:t xml:space="preserve"> 应当披露的关联方包括但不限于下列单位或个人：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（1）发起人；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（2）理事主要来源单位（1/5以上理事来自该单位）；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（3）对外投资的被投资方；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（4）其他在实质上与基金会存在重大控制或重大影响关系的单位或个人。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第八条</w:t>
      </w:r>
      <w:r>
        <w:t xml:space="preserve"> 应当披露的关联方交易包括但不限于下列事项：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（1）提供或接受劳务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（2）提供资金（捐赠、贷款或股权投资）、租赁；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40" w:firstLineChars="100"/>
        <w:textAlignment w:val="auto"/>
      </w:pPr>
      <w:r>
        <w:t>（3）代表民间非营利组织或由民间非盈利组织代表另一方进行债务结算，以及关键管理人员薪酬等。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r>
        <w:rPr>
          <w:rStyle w:val="5"/>
        </w:rPr>
        <w:t>第九条</w:t>
      </w:r>
      <w:r>
        <w:t xml:space="preserve"> 本制度未涉及或未尽的投资事项，按国家的有关规定执行。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</w:pPr>
      <w:bookmarkStart w:id="0" w:name="_GoBack"/>
      <w:bookmarkEnd w:id="0"/>
      <w:r>
        <w:rPr>
          <w:rStyle w:val="5"/>
        </w:rPr>
        <w:t xml:space="preserve">第十条 </w:t>
      </w:r>
      <w:r>
        <w:t>本制度由基金会财务部负责解释，自基金会第一届理事会第一次会议通过之日起执行。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90AEC"/>
    <w:rsid w:val="5C990AEC"/>
    <w:rsid w:val="6DA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2020-07-19T12:58:00Z</dcterms:created>
  <dc:creator>KWCH</dc:creator>
  <cp:lastModifiedBy>KWCH</cp:lastModifiedBy>
  <cp:lastPrinted>2020-07-31T00:07:16Z</cp:lastPrinted>
  <dcterms:modified xsi:type="dcterms:W3CDTF">2020-07-31T00:07:22Z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